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F3DE" w14:textId="3C1CDA24" w:rsidR="00170360" w:rsidRPr="00170360" w:rsidRDefault="00170360" w:rsidP="00170360">
      <w:r w:rsidRPr="00170360">
        <w:rPr>
          <w:b/>
          <w:bCs/>
        </w:rPr>
        <w:t>1. Amaç</w:t>
      </w:r>
      <w:r w:rsidRPr="00170360">
        <w:br/>
        <w:t xml:space="preserve">Bu politikanın amacı, </w:t>
      </w:r>
      <w:r w:rsidR="0093564D">
        <w:t>Nursa Müşavirlik</w:t>
      </w:r>
      <w:r w:rsidR="0093564D" w:rsidRPr="00170360">
        <w:t xml:space="preserve"> </w:t>
      </w:r>
      <w:r w:rsidRPr="00170360">
        <w:t>bünyesinde tüm çalışanlara ve iş süreçlerine uygulanan fırsat eşitliği ilkelerini tanımlamak; cinsiyet, yaş, inanç, etnik köken, engellilik, medeni hal, cinsel yönelim veya diğer kişisel özelliklere dayalı ayrımcılığın önlenmesini sağlamaktır.</w:t>
      </w:r>
    </w:p>
    <w:p w14:paraId="3DFB6E08" w14:textId="43016E94" w:rsidR="00170360" w:rsidRPr="00170360" w:rsidRDefault="00170360" w:rsidP="00170360">
      <w:r w:rsidRPr="00170360">
        <w:rPr>
          <w:b/>
          <w:bCs/>
        </w:rPr>
        <w:t>2. Kapsam</w:t>
      </w:r>
      <w:r w:rsidRPr="00170360">
        <w:br/>
        <w:t xml:space="preserve">Bu politika, </w:t>
      </w:r>
      <w:r w:rsidR="0093564D">
        <w:t>Nursa Müşavirlik</w:t>
      </w:r>
      <w:r w:rsidR="0093564D" w:rsidRPr="00170360">
        <w:t xml:space="preserve"> </w:t>
      </w:r>
      <w:r w:rsidRPr="00170360">
        <w:t>tüm faaliyet alanlarını, iş alım, eğitim, terfi, ücretlendirme, performans değerlendirme, proje atamaları ve kariyer gelişimi süreçlerini kapsar.</w:t>
      </w:r>
    </w:p>
    <w:p w14:paraId="71B8EF69" w14:textId="77777777" w:rsidR="00170360" w:rsidRPr="00170360" w:rsidRDefault="00170360" w:rsidP="00170360">
      <w:r w:rsidRPr="00170360">
        <w:rPr>
          <w:b/>
          <w:bCs/>
        </w:rPr>
        <w:t>3. Tanımlar</w:t>
      </w:r>
    </w:p>
    <w:p w14:paraId="5EC58C6C" w14:textId="77777777" w:rsidR="00170360" w:rsidRPr="00170360" w:rsidRDefault="00170360" w:rsidP="00170360">
      <w:pPr>
        <w:numPr>
          <w:ilvl w:val="0"/>
          <w:numId w:val="4"/>
        </w:numPr>
      </w:pPr>
      <w:r w:rsidRPr="00170360">
        <w:rPr>
          <w:b/>
          <w:bCs/>
        </w:rPr>
        <w:t>Fırsat Eşitliği:</w:t>
      </w:r>
      <w:r w:rsidRPr="00170360">
        <w:t xml:space="preserve"> Bireylerin tüm hak ve kaynaklara erişimde aynı ölçütlere tabi tutulması, yetkinliğe ve performansa dayalı olarak değerlendirilmesidir.</w:t>
      </w:r>
    </w:p>
    <w:p w14:paraId="5BA9000C" w14:textId="77777777" w:rsidR="00170360" w:rsidRPr="00170360" w:rsidRDefault="00170360" w:rsidP="00170360">
      <w:pPr>
        <w:numPr>
          <w:ilvl w:val="0"/>
          <w:numId w:val="4"/>
        </w:numPr>
      </w:pPr>
      <w:r w:rsidRPr="00170360">
        <w:rPr>
          <w:b/>
          <w:bCs/>
        </w:rPr>
        <w:t>Ayrımcılık:</w:t>
      </w:r>
      <w:r w:rsidRPr="00170360">
        <w:t xml:space="preserve"> Kişinin yukarıda sayılan özelliklerinden dolayı dezavantajlı duruma düşürülmesidir.</w:t>
      </w:r>
    </w:p>
    <w:p w14:paraId="7D73AD03" w14:textId="77777777" w:rsidR="00170360" w:rsidRPr="00170360" w:rsidRDefault="00170360" w:rsidP="00170360">
      <w:pPr>
        <w:numPr>
          <w:ilvl w:val="0"/>
          <w:numId w:val="4"/>
        </w:numPr>
      </w:pPr>
      <w:r w:rsidRPr="00170360">
        <w:rPr>
          <w:b/>
          <w:bCs/>
        </w:rPr>
        <w:t>Pozitif Ayrımcılık:</w:t>
      </w:r>
      <w:r w:rsidRPr="00170360">
        <w:t xml:space="preserve"> Toplumsal cinsiyet ve benzeri temelde var olan eşitsizlikleri dengelemek amacıyla alınan özel önlemlerdir.</w:t>
      </w:r>
    </w:p>
    <w:p w14:paraId="59C1586E" w14:textId="77777777" w:rsidR="00170360" w:rsidRPr="00170360" w:rsidRDefault="00170360" w:rsidP="00170360">
      <w:r w:rsidRPr="00170360">
        <w:rPr>
          <w:b/>
          <w:bCs/>
        </w:rPr>
        <w:t>4. Politika İlkeleri</w:t>
      </w:r>
    </w:p>
    <w:p w14:paraId="696A560A" w14:textId="77777777" w:rsidR="00170360" w:rsidRPr="00170360" w:rsidRDefault="00170360" w:rsidP="00170360">
      <w:pPr>
        <w:numPr>
          <w:ilvl w:val="0"/>
          <w:numId w:val="5"/>
        </w:numPr>
      </w:pPr>
      <w:r w:rsidRPr="00170360">
        <w:rPr>
          <w:b/>
          <w:bCs/>
        </w:rPr>
        <w:t>Ayrımcılık Yasağı:</w:t>
      </w:r>
      <w:r w:rsidRPr="00170360">
        <w:t xml:space="preserve"> İşe alım, ücret, terfi, eğitim ve performans değerlendirme süreçlerinde hiçbir ayrımcı uygulamaya izin verilmez. </w:t>
      </w:r>
      <w:r w:rsidRPr="00170360">
        <w:rPr>
          <w:rFonts w:ascii="Arial" w:hAnsi="Arial" w:cs="Arial"/>
        </w:rPr>
        <w:t>​</w:t>
      </w:r>
    </w:p>
    <w:p w14:paraId="2F73B4EC" w14:textId="77777777" w:rsidR="00170360" w:rsidRPr="00170360" w:rsidRDefault="00170360" w:rsidP="00170360">
      <w:pPr>
        <w:numPr>
          <w:ilvl w:val="0"/>
          <w:numId w:val="5"/>
        </w:numPr>
      </w:pPr>
      <w:r w:rsidRPr="00170360">
        <w:rPr>
          <w:b/>
          <w:bCs/>
        </w:rPr>
        <w:t>Ücret Politikası:</w:t>
      </w:r>
      <w:r w:rsidRPr="00170360">
        <w:t xml:space="preserve"> Yetkinlik ve iş sorumluluğu temel alınarak şeffaf, adil ve eşit ücretlendirme yapılır. </w:t>
      </w:r>
      <w:r w:rsidRPr="00170360">
        <w:rPr>
          <w:rFonts w:ascii="Arial" w:hAnsi="Arial" w:cs="Arial"/>
        </w:rPr>
        <w:t>​</w:t>
      </w:r>
    </w:p>
    <w:p w14:paraId="04F07BCF" w14:textId="77777777" w:rsidR="00170360" w:rsidRPr="00170360" w:rsidRDefault="00170360" w:rsidP="00170360">
      <w:pPr>
        <w:numPr>
          <w:ilvl w:val="0"/>
          <w:numId w:val="5"/>
        </w:numPr>
      </w:pPr>
      <w:r w:rsidRPr="00170360">
        <w:rPr>
          <w:b/>
          <w:bCs/>
        </w:rPr>
        <w:t>Kariyer ve Terfi:</w:t>
      </w:r>
      <w:r w:rsidRPr="00170360">
        <w:t xml:space="preserve"> Orta ve üst düzey yönetim pozisyonlarında kadın ve az temsil edilen grupların yer alması aktif olarak desteklenir. </w:t>
      </w:r>
      <w:r w:rsidRPr="00170360">
        <w:rPr>
          <w:rFonts w:ascii="Arial" w:hAnsi="Arial" w:cs="Arial"/>
        </w:rPr>
        <w:t>​</w:t>
      </w:r>
    </w:p>
    <w:p w14:paraId="18CA5EE9" w14:textId="77777777" w:rsidR="00170360" w:rsidRPr="00170360" w:rsidRDefault="00170360" w:rsidP="00170360">
      <w:pPr>
        <w:numPr>
          <w:ilvl w:val="0"/>
          <w:numId w:val="5"/>
        </w:numPr>
      </w:pPr>
      <w:r w:rsidRPr="00170360">
        <w:rPr>
          <w:b/>
          <w:bCs/>
        </w:rPr>
        <w:t>İş-Yaşam Dengesi:</w:t>
      </w:r>
      <w:r w:rsidRPr="00170360">
        <w:t xml:space="preserve"> Çalışanların iş-yaşam dengesi gözetilerek esnek çalışma modelleri, doğum sonrası destek ve babalık izni gibi uygulamalar teşvik edilir. </w:t>
      </w:r>
      <w:r w:rsidRPr="00170360">
        <w:rPr>
          <w:rFonts w:ascii="Arial" w:hAnsi="Arial" w:cs="Arial"/>
        </w:rPr>
        <w:t>​</w:t>
      </w:r>
    </w:p>
    <w:p w14:paraId="26A7D8A7" w14:textId="77777777" w:rsidR="00170360" w:rsidRPr="00170360" w:rsidRDefault="00170360" w:rsidP="00170360">
      <w:pPr>
        <w:numPr>
          <w:ilvl w:val="0"/>
          <w:numId w:val="5"/>
        </w:numPr>
      </w:pPr>
      <w:r w:rsidRPr="00170360">
        <w:rPr>
          <w:b/>
          <w:bCs/>
        </w:rPr>
        <w:t>Çeşitlilik ve Kapsayıcılık:</w:t>
      </w:r>
      <w:r w:rsidRPr="00170360">
        <w:t xml:space="preserve"> Farklı yetenek, tecrübe ve bakış açılarına değer verilir; tüm çalışanların katkılarına eşit değer atfedilir. </w:t>
      </w:r>
      <w:r w:rsidRPr="00170360">
        <w:rPr>
          <w:rFonts w:ascii="Arial" w:hAnsi="Arial" w:cs="Arial"/>
        </w:rPr>
        <w:t>​</w:t>
      </w:r>
    </w:p>
    <w:p w14:paraId="102F4780" w14:textId="77777777" w:rsidR="00170360" w:rsidRPr="00170360" w:rsidRDefault="00170360" w:rsidP="00170360">
      <w:pPr>
        <w:numPr>
          <w:ilvl w:val="0"/>
          <w:numId w:val="5"/>
        </w:numPr>
      </w:pPr>
      <w:r w:rsidRPr="00170360">
        <w:rPr>
          <w:b/>
          <w:bCs/>
        </w:rPr>
        <w:t>Taciz ve Şiddetin Önlenmesi:</w:t>
      </w:r>
      <w:r w:rsidRPr="00170360">
        <w:t xml:space="preserve"> İş yerinde her türlü cinsel taciz, psikolojik baskı ve şiddet kesinlikle yasaklanır; ihlal durumunda derhal soruşturma ve disiplin süreci başlatılır. </w:t>
      </w:r>
      <w:r w:rsidRPr="00170360">
        <w:rPr>
          <w:rFonts w:ascii="Arial" w:hAnsi="Arial" w:cs="Arial"/>
        </w:rPr>
        <w:t>​</w:t>
      </w:r>
    </w:p>
    <w:p w14:paraId="00D6C242" w14:textId="77777777" w:rsidR="00170360" w:rsidRPr="00170360" w:rsidRDefault="00170360" w:rsidP="00170360">
      <w:pPr>
        <w:numPr>
          <w:ilvl w:val="0"/>
          <w:numId w:val="5"/>
        </w:numPr>
      </w:pPr>
      <w:r w:rsidRPr="00170360">
        <w:rPr>
          <w:b/>
          <w:bCs/>
        </w:rPr>
        <w:t>Eğitim ve Farkındalık:</w:t>
      </w:r>
      <w:r w:rsidRPr="00170360">
        <w:t xml:space="preserve"> Fırsat eşitliği ve ayrımcılığı önleme konularında düzenli oryantasyon ve yenileme eğitimleri verilir. </w:t>
      </w:r>
      <w:r w:rsidRPr="00170360">
        <w:rPr>
          <w:rFonts w:ascii="Arial" w:hAnsi="Arial" w:cs="Arial"/>
        </w:rPr>
        <w:t>​</w:t>
      </w:r>
    </w:p>
    <w:p w14:paraId="49E71FC3" w14:textId="77777777" w:rsidR="00170360" w:rsidRPr="00170360" w:rsidRDefault="00170360" w:rsidP="00170360">
      <w:r w:rsidRPr="00170360">
        <w:rPr>
          <w:b/>
          <w:bCs/>
        </w:rPr>
        <w:t>5. Sorumluluklar</w:t>
      </w:r>
    </w:p>
    <w:p w14:paraId="42BA681D" w14:textId="77777777" w:rsidR="00170360" w:rsidRPr="00170360" w:rsidRDefault="00170360" w:rsidP="00170360">
      <w:pPr>
        <w:numPr>
          <w:ilvl w:val="0"/>
          <w:numId w:val="6"/>
        </w:numPr>
      </w:pPr>
      <w:r w:rsidRPr="00170360">
        <w:rPr>
          <w:b/>
          <w:bCs/>
        </w:rPr>
        <w:t>Üst Yönetim:</w:t>
      </w:r>
      <w:r w:rsidRPr="00170360">
        <w:t xml:space="preserve"> Politikanın etkinliğini sağlamak, kaynak ayırmak ve periyodik gözden geçirmeleri yapmak</w:t>
      </w:r>
    </w:p>
    <w:p w14:paraId="0438F189" w14:textId="77777777" w:rsidR="00170360" w:rsidRPr="00170360" w:rsidRDefault="00170360" w:rsidP="00170360">
      <w:pPr>
        <w:numPr>
          <w:ilvl w:val="0"/>
          <w:numId w:val="6"/>
        </w:numPr>
      </w:pPr>
      <w:r w:rsidRPr="00170360">
        <w:rPr>
          <w:b/>
          <w:bCs/>
        </w:rPr>
        <w:t>İnsan Kaynakları:</w:t>
      </w:r>
      <w:r w:rsidRPr="00170360">
        <w:t xml:space="preserve"> İşe alım, terfi ve eğitim süreçlerinde politika ilkelerine uyumu gözetmek</w:t>
      </w:r>
    </w:p>
    <w:p w14:paraId="1796D5CF" w14:textId="77777777" w:rsidR="00170360" w:rsidRPr="00170360" w:rsidRDefault="00170360" w:rsidP="00170360">
      <w:pPr>
        <w:numPr>
          <w:ilvl w:val="0"/>
          <w:numId w:val="6"/>
        </w:numPr>
      </w:pPr>
      <w:r w:rsidRPr="00170360">
        <w:rPr>
          <w:b/>
          <w:bCs/>
        </w:rPr>
        <w:lastRenderedPageBreak/>
        <w:t>Bölüm Yöneticileri:</w:t>
      </w:r>
      <w:r w:rsidRPr="00170360">
        <w:t xml:space="preserve"> Ekip içinde fırsat eşitliği uygulamalarını denetlemek ve iyileştirme önerileri sunmak</w:t>
      </w:r>
    </w:p>
    <w:p w14:paraId="10953327" w14:textId="77777777" w:rsidR="00170360" w:rsidRPr="00170360" w:rsidRDefault="00170360" w:rsidP="00170360">
      <w:pPr>
        <w:numPr>
          <w:ilvl w:val="0"/>
          <w:numId w:val="6"/>
        </w:numPr>
      </w:pPr>
      <w:r w:rsidRPr="00170360">
        <w:rPr>
          <w:b/>
          <w:bCs/>
        </w:rPr>
        <w:t>Tüm Çalışanlar:</w:t>
      </w:r>
      <w:r w:rsidRPr="00170360">
        <w:t xml:space="preserve"> Politika kurallarına uymak, ihlal durumlarını İnsan </w:t>
      </w:r>
      <w:proofErr w:type="spellStart"/>
      <w:r w:rsidRPr="00170360">
        <w:t>Kaynakları’na</w:t>
      </w:r>
      <w:proofErr w:type="spellEnd"/>
      <w:r w:rsidRPr="00170360">
        <w:t xml:space="preserve"> veya Kalite </w:t>
      </w:r>
      <w:proofErr w:type="spellStart"/>
      <w:r w:rsidRPr="00170360">
        <w:t>Yöneticisi’ne</w:t>
      </w:r>
      <w:proofErr w:type="spellEnd"/>
      <w:r w:rsidRPr="00170360">
        <w:t xml:space="preserve"> bildirmek</w:t>
      </w:r>
    </w:p>
    <w:p w14:paraId="46D8278C" w14:textId="77777777" w:rsidR="00170360" w:rsidRPr="00170360" w:rsidRDefault="00170360" w:rsidP="00170360">
      <w:r w:rsidRPr="00170360">
        <w:rPr>
          <w:b/>
          <w:bCs/>
        </w:rPr>
        <w:t>6. İzleme, Ölçme ve Gözden Geçirme</w:t>
      </w:r>
    </w:p>
    <w:p w14:paraId="6D721187" w14:textId="77777777" w:rsidR="00170360" w:rsidRPr="00170360" w:rsidRDefault="00170360" w:rsidP="00170360">
      <w:pPr>
        <w:numPr>
          <w:ilvl w:val="0"/>
          <w:numId w:val="7"/>
        </w:numPr>
      </w:pPr>
      <w:r w:rsidRPr="00170360">
        <w:t xml:space="preserve">Her yıl </w:t>
      </w:r>
      <w:r w:rsidRPr="00170360">
        <w:rPr>
          <w:b/>
          <w:bCs/>
        </w:rPr>
        <w:t>Eşitlik Komitesi</w:t>
      </w:r>
      <w:r w:rsidRPr="00170360">
        <w:t xml:space="preserve"> tarafından hazırlanan ölçütler ve veri analizi ile politika uygulama düzeyi değerlendirilir.</w:t>
      </w:r>
    </w:p>
    <w:p w14:paraId="4C1768EB" w14:textId="77777777" w:rsidR="00170360" w:rsidRPr="00170360" w:rsidRDefault="00170360" w:rsidP="00170360">
      <w:pPr>
        <w:numPr>
          <w:ilvl w:val="0"/>
          <w:numId w:val="7"/>
        </w:numPr>
      </w:pPr>
      <w:r w:rsidRPr="00170360">
        <w:t>İç tetkik ve Yönetimin Gözden Geçirme toplantılarında fırsat eşitliği bulguları raporlanır.</w:t>
      </w:r>
    </w:p>
    <w:p w14:paraId="3920E965" w14:textId="32BE8473" w:rsidR="00170360" w:rsidRPr="00170360" w:rsidRDefault="00170360" w:rsidP="00170360">
      <w:pPr>
        <w:numPr>
          <w:ilvl w:val="0"/>
          <w:numId w:val="7"/>
        </w:numPr>
      </w:pPr>
      <w:r w:rsidRPr="00170360">
        <w:t>Gerekli görüldüğünde düzeltici faaliyetler (DF) başlatılır.</w:t>
      </w:r>
    </w:p>
    <w:p w14:paraId="3EA6A25B" w14:textId="77777777" w:rsidR="00170360" w:rsidRPr="00170360" w:rsidRDefault="00170360" w:rsidP="00170360">
      <w:r w:rsidRPr="00170360">
        <w:rPr>
          <w:b/>
          <w:bCs/>
        </w:rPr>
        <w:t>7. İlgili Mevzuat ve İlkeler</w:t>
      </w:r>
    </w:p>
    <w:p w14:paraId="19AF4EA8" w14:textId="77777777" w:rsidR="00170360" w:rsidRPr="00170360" w:rsidRDefault="00170360" w:rsidP="00170360">
      <w:pPr>
        <w:numPr>
          <w:ilvl w:val="0"/>
          <w:numId w:val="8"/>
        </w:numPr>
      </w:pPr>
      <w:r w:rsidRPr="00170360">
        <w:t>Birleşmiş Milletler Kadına Karşı Her Türlü Ayrımcılığın Önlenmesi Sözleşmesi (CEDAW)</w:t>
      </w:r>
    </w:p>
    <w:p w14:paraId="75695573" w14:textId="77777777" w:rsidR="00170360" w:rsidRPr="00170360" w:rsidRDefault="00170360" w:rsidP="00170360">
      <w:pPr>
        <w:numPr>
          <w:ilvl w:val="0"/>
          <w:numId w:val="8"/>
        </w:numPr>
      </w:pPr>
      <w:r w:rsidRPr="00170360">
        <w:t>Birleşmiş Milletler Küresel İlkeler Sözleşmesi (UNGC) ve Kadının Güçlenmesi Prensipleri (</w:t>
      </w:r>
      <w:proofErr w:type="spellStart"/>
      <w:r w:rsidRPr="00170360">
        <w:t>WEPs</w:t>
      </w:r>
      <w:proofErr w:type="spellEnd"/>
      <w:r w:rsidRPr="00170360">
        <w:t>)</w:t>
      </w:r>
    </w:p>
    <w:p w14:paraId="6500157C" w14:textId="77777777" w:rsidR="00170360" w:rsidRPr="00170360" w:rsidRDefault="00170360" w:rsidP="00170360">
      <w:pPr>
        <w:numPr>
          <w:ilvl w:val="0"/>
          <w:numId w:val="8"/>
        </w:numPr>
      </w:pPr>
      <w:r w:rsidRPr="00170360">
        <w:t>BM Sürdürülebilir Kalkınma Amaçları (SDG 5 – Toplumsal Cinsiyet Eşitliği)</w:t>
      </w:r>
    </w:p>
    <w:p w14:paraId="4F4527DD" w14:textId="77777777" w:rsidR="00170360" w:rsidRPr="00170360" w:rsidRDefault="00170360" w:rsidP="00170360">
      <w:pPr>
        <w:numPr>
          <w:ilvl w:val="0"/>
          <w:numId w:val="8"/>
        </w:numPr>
      </w:pPr>
      <w:r w:rsidRPr="00170360">
        <w:t>Türkiye iş ve insan hakları mevzuatı</w:t>
      </w:r>
    </w:p>
    <w:p w14:paraId="2B171FC1" w14:textId="088B7570" w:rsidR="00170360" w:rsidRPr="00170360" w:rsidRDefault="00170360" w:rsidP="00170360">
      <w:r w:rsidRPr="00170360">
        <w:t xml:space="preserve">Bu politika, </w:t>
      </w:r>
      <w:r w:rsidR="0093564D">
        <w:t>Nursa Müşavirlik</w:t>
      </w:r>
      <w:r w:rsidR="0093564D" w:rsidRPr="00170360">
        <w:t xml:space="preserve"> </w:t>
      </w:r>
      <w:r w:rsidRPr="00170360">
        <w:t>iş kültürünün ayrılmaz bir parçasıdır ve tüm çalışanların eşit fırsatlardan yararlandığı, kapsayıcı bir çalışma ortamı oluşturmayı taahhüt eder.</w:t>
      </w:r>
    </w:p>
    <w:p w14:paraId="0A86223F" w14:textId="77777777" w:rsidR="00E14556" w:rsidRPr="00170360" w:rsidRDefault="00E14556" w:rsidP="00170360"/>
    <w:sectPr w:rsidR="00E14556" w:rsidRPr="00170360" w:rsidSect="009543E1">
      <w:headerReference w:type="default" r:id="rId7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82B3" w14:textId="77777777" w:rsidR="00102D1D" w:rsidRDefault="00102D1D" w:rsidP="009543E1">
      <w:pPr>
        <w:spacing w:after="0" w:line="240" w:lineRule="auto"/>
      </w:pPr>
      <w:r>
        <w:separator/>
      </w:r>
    </w:p>
  </w:endnote>
  <w:endnote w:type="continuationSeparator" w:id="0">
    <w:p w14:paraId="1E7503BC" w14:textId="77777777" w:rsidR="00102D1D" w:rsidRDefault="00102D1D" w:rsidP="0095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CA66" w14:textId="77777777" w:rsidR="00102D1D" w:rsidRDefault="00102D1D" w:rsidP="009543E1">
      <w:pPr>
        <w:spacing w:after="0" w:line="240" w:lineRule="auto"/>
      </w:pPr>
      <w:r>
        <w:separator/>
      </w:r>
    </w:p>
  </w:footnote>
  <w:footnote w:type="continuationSeparator" w:id="0">
    <w:p w14:paraId="406A9BB5" w14:textId="77777777" w:rsidR="00102D1D" w:rsidRDefault="00102D1D" w:rsidP="0095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85" w:type="dxa"/>
      <w:tblInd w:w="-72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088"/>
      <w:gridCol w:w="1733"/>
      <w:gridCol w:w="1497"/>
    </w:tblGrid>
    <w:tr w:rsidR="009543E1" w:rsidRPr="009616AC" w14:paraId="5F966080" w14:textId="77777777" w:rsidTr="009543E1">
      <w:trPr>
        <w:trHeight w:val="232"/>
      </w:trPr>
      <w:tc>
        <w:tcPr>
          <w:tcW w:w="2267" w:type="dxa"/>
          <w:vMerge w:val="restart"/>
        </w:tcPr>
        <w:p w14:paraId="5C9FF209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9BB87A1" wp14:editId="254F4BE5">
                <wp:simplePos x="0" y="0"/>
                <wp:positionH relativeFrom="column">
                  <wp:posOffset>-15803</wp:posOffset>
                </wp:positionH>
                <wp:positionV relativeFrom="paragraph">
                  <wp:posOffset>96520</wp:posOffset>
                </wp:positionV>
                <wp:extent cx="1295400" cy="680758"/>
                <wp:effectExtent l="0" t="0" r="0" b="0"/>
                <wp:wrapNone/>
                <wp:docPr id="85931806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807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88" w:type="dxa"/>
          <w:vMerge w:val="restart"/>
          <w:vAlign w:val="center"/>
        </w:tcPr>
        <w:p w14:paraId="7F152A38" w14:textId="2E638837" w:rsidR="009543E1" w:rsidRPr="0093564D" w:rsidRDefault="0093564D" w:rsidP="0093564D">
          <w:pPr>
            <w:spacing w:after="160" w:line="259" w:lineRule="auto"/>
            <w:jc w:val="center"/>
          </w:pPr>
          <w:r w:rsidRPr="00170360">
            <w:rPr>
              <w:b/>
              <w:bCs/>
            </w:rPr>
            <w:t>FIRSAT EŞİTLİĞİ POLİTİKASI</w:t>
          </w:r>
        </w:p>
      </w:tc>
      <w:tc>
        <w:tcPr>
          <w:tcW w:w="1733" w:type="dxa"/>
        </w:tcPr>
        <w:p w14:paraId="6A019636" w14:textId="77777777" w:rsidR="009543E1" w:rsidRPr="009616AC" w:rsidRDefault="009543E1" w:rsidP="009543E1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Doküman No</w:t>
          </w:r>
        </w:p>
      </w:tc>
      <w:tc>
        <w:tcPr>
          <w:tcW w:w="1497" w:type="dxa"/>
        </w:tcPr>
        <w:p w14:paraId="59EC76CC" w14:textId="480F334A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t>RHB</w:t>
          </w:r>
          <w:r>
            <w:rPr>
              <w:rFonts w:ascii="Calibri" w:hAnsi="Calibri" w:cs="Calibri"/>
            </w:rPr>
            <w:t>.EK.0</w:t>
          </w:r>
          <w:r w:rsidR="00170360">
            <w:rPr>
              <w:rFonts w:ascii="Calibri" w:hAnsi="Calibri" w:cs="Calibri"/>
            </w:rPr>
            <w:t>5</w:t>
          </w:r>
        </w:p>
      </w:tc>
    </w:tr>
    <w:tr w:rsidR="009543E1" w:rsidRPr="009616AC" w14:paraId="503669AE" w14:textId="77777777" w:rsidTr="009543E1">
      <w:tblPrEx>
        <w:tblCellMar>
          <w:left w:w="108" w:type="dxa"/>
          <w:right w:w="108" w:type="dxa"/>
        </w:tblCellMar>
      </w:tblPrEx>
      <w:trPr>
        <w:trHeight w:val="123"/>
      </w:trPr>
      <w:tc>
        <w:tcPr>
          <w:tcW w:w="2267" w:type="dxa"/>
          <w:vMerge/>
        </w:tcPr>
        <w:p w14:paraId="2700FA06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5088" w:type="dxa"/>
          <w:vMerge/>
        </w:tcPr>
        <w:p w14:paraId="6B8484C1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33" w:type="dxa"/>
        </w:tcPr>
        <w:p w14:paraId="55E5D261" w14:textId="77777777" w:rsidR="009543E1" w:rsidRPr="009616AC" w:rsidRDefault="009543E1" w:rsidP="009543E1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İlk Yayın Tarihi</w:t>
          </w:r>
        </w:p>
      </w:tc>
      <w:tc>
        <w:tcPr>
          <w:tcW w:w="1497" w:type="dxa"/>
        </w:tcPr>
        <w:p w14:paraId="6CC4AD3A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25.12</w:t>
          </w:r>
          <w:r w:rsidRPr="009616AC">
            <w:rPr>
              <w:rFonts w:ascii="Calibri" w:hAnsi="Calibri" w:cs="Calibri"/>
            </w:rPr>
            <w:t>.2024</w:t>
          </w:r>
        </w:p>
      </w:tc>
    </w:tr>
    <w:tr w:rsidR="009543E1" w:rsidRPr="009616AC" w14:paraId="6935AF81" w14:textId="77777777" w:rsidTr="009543E1">
      <w:tblPrEx>
        <w:tblCellMar>
          <w:left w:w="108" w:type="dxa"/>
          <w:right w:w="108" w:type="dxa"/>
        </w:tblCellMar>
      </w:tblPrEx>
      <w:trPr>
        <w:trHeight w:val="123"/>
      </w:trPr>
      <w:tc>
        <w:tcPr>
          <w:tcW w:w="2267" w:type="dxa"/>
          <w:vMerge/>
        </w:tcPr>
        <w:p w14:paraId="5281095C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5088" w:type="dxa"/>
          <w:vMerge/>
        </w:tcPr>
        <w:p w14:paraId="3B50DD66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33" w:type="dxa"/>
        </w:tcPr>
        <w:p w14:paraId="284A56C4" w14:textId="77777777" w:rsidR="009543E1" w:rsidRPr="009616AC" w:rsidRDefault="009543E1" w:rsidP="009543E1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Revizyon No</w:t>
          </w:r>
        </w:p>
      </w:tc>
      <w:tc>
        <w:tcPr>
          <w:tcW w:w="1497" w:type="dxa"/>
        </w:tcPr>
        <w:p w14:paraId="46EF6655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t>00</w:t>
          </w:r>
        </w:p>
      </w:tc>
    </w:tr>
    <w:tr w:rsidR="009543E1" w:rsidRPr="009616AC" w14:paraId="0F9235E1" w14:textId="77777777" w:rsidTr="009543E1">
      <w:tblPrEx>
        <w:tblCellMar>
          <w:left w:w="108" w:type="dxa"/>
          <w:right w:w="108" w:type="dxa"/>
        </w:tblCellMar>
      </w:tblPrEx>
      <w:trPr>
        <w:trHeight w:val="123"/>
      </w:trPr>
      <w:tc>
        <w:tcPr>
          <w:tcW w:w="2267" w:type="dxa"/>
          <w:vMerge/>
        </w:tcPr>
        <w:p w14:paraId="4B9AE5E4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5088" w:type="dxa"/>
          <w:vMerge/>
        </w:tcPr>
        <w:p w14:paraId="1072499A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33" w:type="dxa"/>
        </w:tcPr>
        <w:p w14:paraId="0B7E5065" w14:textId="77777777" w:rsidR="009543E1" w:rsidRPr="009616AC" w:rsidRDefault="009543E1" w:rsidP="009543E1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Revizyon Tarihi</w:t>
          </w:r>
        </w:p>
      </w:tc>
      <w:tc>
        <w:tcPr>
          <w:tcW w:w="1497" w:type="dxa"/>
        </w:tcPr>
        <w:p w14:paraId="07DEF60E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t>--</w:t>
          </w:r>
        </w:p>
      </w:tc>
    </w:tr>
    <w:tr w:rsidR="009543E1" w:rsidRPr="009616AC" w14:paraId="51209330" w14:textId="77777777" w:rsidTr="009543E1">
      <w:tblPrEx>
        <w:tblCellMar>
          <w:left w:w="108" w:type="dxa"/>
          <w:right w:w="108" w:type="dxa"/>
        </w:tblCellMar>
      </w:tblPrEx>
      <w:trPr>
        <w:trHeight w:val="62"/>
      </w:trPr>
      <w:tc>
        <w:tcPr>
          <w:tcW w:w="2267" w:type="dxa"/>
          <w:vMerge/>
        </w:tcPr>
        <w:p w14:paraId="7729B474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5088" w:type="dxa"/>
          <w:vMerge/>
        </w:tcPr>
        <w:p w14:paraId="15FCBD6E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</w:p>
      </w:tc>
      <w:tc>
        <w:tcPr>
          <w:tcW w:w="1733" w:type="dxa"/>
        </w:tcPr>
        <w:p w14:paraId="1BFBDF08" w14:textId="77777777" w:rsidR="009543E1" w:rsidRPr="009616AC" w:rsidRDefault="009543E1" w:rsidP="009543E1">
          <w:pPr>
            <w:rPr>
              <w:rFonts w:ascii="Calibri" w:hAnsi="Calibri" w:cs="Calibri"/>
              <w:b/>
            </w:rPr>
          </w:pPr>
          <w:r w:rsidRPr="009616AC">
            <w:rPr>
              <w:rFonts w:ascii="Calibri" w:hAnsi="Calibri" w:cs="Calibri"/>
              <w:b/>
            </w:rPr>
            <w:t>Sayfa</w:t>
          </w:r>
        </w:p>
      </w:tc>
      <w:tc>
        <w:tcPr>
          <w:tcW w:w="1497" w:type="dxa"/>
        </w:tcPr>
        <w:p w14:paraId="28A806FB" w14:textId="77777777" w:rsidR="009543E1" w:rsidRPr="009616AC" w:rsidRDefault="009543E1" w:rsidP="009543E1">
          <w:pPr>
            <w:pStyle w:val="stBilgi"/>
            <w:rPr>
              <w:rFonts w:ascii="Calibri" w:hAnsi="Calibri" w:cs="Calibri"/>
            </w:rPr>
          </w:pPr>
          <w:r w:rsidRPr="009616AC">
            <w:rPr>
              <w:rFonts w:ascii="Calibri" w:hAnsi="Calibri" w:cs="Calibri"/>
            </w:rPr>
            <w:fldChar w:fldCharType="begin"/>
          </w:r>
          <w:r w:rsidRPr="009616AC">
            <w:rPr>
              <w:rFonts w:ascii="Calibri" w:hAnsi="Calibri" w:cs="Calibri"/>
            </w:rPr>
            <w:instrText>PAGE  \* Arabic  \* MERGEFORMAT</w:instrText>
          </w:r>
          <w:r w:rsidRPr="009616AC">
            <w:rPr>
              <w:rFonts w:ascii="Calibri" w:hAnsi="Calibri" w:cs="Calibri"/>
            </w:rPr>
            <w:fldChar w:fldCharType="separate"/>
          </w:r>
          <w:r w:rsidRPr="009616AC">
            <w:rPr>
              <w:rFonts w:ascii="Calibri" w:hAnsi="Calibri" w:cs="Calibri"/>
              <w:noProof/>
            </w:rPr>
            <w:t>9</w:t>
          </w:r>
          <w:r w:rsidRPr="009616AC">
            <w:rPr>
              <w:rFonts w:ascii="Calibri" w:hAnsi="Calibri" w:cs="Calibri"/>
            </w:rPr>
            <w:fldChar w:fldCharType="end"/>
          </w:r>
          <w:r w:rsidRPr="009616AC">
            <w:rPr>
              <w:rFonts w:ascii="Calibri" w:hAnsi="Calibri" w:cs="Calibri"/>
            </w:rPr>
            <w:t xml:space="preserve"> / </w:t>
          </w:r>
          <w:r w:rsidRPr="009616AC">
            <w:rPr>
              <w:rFonts w:ascii="Calibri" w:hAnsi="Calibri" w:cs="Calibri"/>
            </w:rPr>
            <w:fldChar w:fldCharType="begin"/>
          </w:r>
          <w:r w:rsidRPr="009616AC">
            <w:rPr>
              <w:rFonts w:ascii="Calibri" w:hAnsi="Calibri" w:cs="Calibri"/>
            </w:rPr>
            <w:instrText>NUMPAGES  \* Arabic  \* MERGEFORMAT</w:instrText>
          </w:r>
          <w:r w:rsidRPr="009616AC">
            <w:rPr>
              <w:rFonts w:ascii="Calibri" w:hAnsi="Calibri" w:cs="Calibri"/>
            </w:rPr>
            <w:fldChar w:fldCharType="separate"/>
          </w:r>
          <w:r w:rsidRPr="009616AC">
            <w:rPr>
              <w:rFonts w:ascii="Calibri" w:hAnsi="Calibri" w:cs="Calibri"/>
              <w:noProof/>
            </w:rPr>
            <w:t>33</w:t>
          </w:r>
          <w:r w:rsidRPr="009616AC">
            <w:rPr>
              <w:rFonts w:ascii="Calibri" w:hAnsi="Calibri" w:cs="Calibri"/>
              <w:noProof/>
            </w:rPr>
            <w:fldChar w:fldCharType="end"/>
          </w:r>
        </w:p>
      </w:tc>
    </w:tr>
  </w:tbl>
  <w:p w14:paraId="1632F1DC" w14:textId="77777777" w:rsidR="009543E1" w:rsidRDefault="009543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7449"/>
    <w:multiLevelType w:val="multilevel"/>
    <w:tmpl w:val="E778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D55DD"/>
    <w:multiLevelType w:val="multilevel"/>
    <w:tmpl w:val="88B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524BC"/>
    <w:multiLevelType w:val="multilevel"/>
    <w:tmpl w:val="FFD65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1640B6"/>
    <w:multiLevelType w:val="multilevel"/>
    <w:tmpl w:val="B490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879C7"/>
    <w:multiLevelType w:val="multilevel"/>
    <w:tmpl w:val="146A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73C15"/>
    <w:multiLevelType w:val="multilevel"/>
    <w:tmpl w:val="772A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FB57EA"/>
    <w:multiLevelType w:val="multilevel"/>
    <w:tmpl w:val="DDE6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A112E"/>
    <w:multiLevelType w:val="multilevel"/>
    <w:tmpl w:val="8CCC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1995294">
    <w:abstractNumId w:val="2"/>
  </w:num>
  <w:num w:numId="2" w16cid:durableId="911082471">
    <w:abstractNumId w:val="0"/>
  </w:num>
  <w:num w:numId="3" w16cid:durableId="400177709">
    <w:abstractNumId w:val="5"/>
  </w:num>
  <w:num w:numId="4" w16cid:durableId="2009743206">
    <w:abstractNumId w:val="4"/>
  </w:num>
  <w:num w:numId="5" w16cid:durableId="2002738218">
    <w:abstractNumId w:val="7"/>
  </w:num>
  <w:num w:numId="6" w16cid:durableId="472144023">
    <w:abstractNumId w:val="1"/>
  </w:num>
  <w:num w:numId="7" w16cid:durableId="249702950">
    <w:abstractNumId w:val="6"/>
  </w:num>
  <w:num w:numId="8" w16cid:durableId="1280452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FB"/>
    <w:rsid w:val="00102D1D"/>
    <w:rsid w:val="00170360"/>
    <w:rsid w:val="00552972"/>
    <w:rsid w:val="007C56E8"/>
    <w:rsid w:val="008B702C"/>
    <w:rsid w:val="0093564D"/>
    <w:rsid w:val="009543E1"/>
    <w:rsid w:val="00B65150"/>
    <w:rsid w:val="00B75CFB"/>
    <w:rsid w:val="00BC692E"/>
    <w:rsid w:val="00D0746C"/>
    <w:rsid w:val="00D87A22"/>
    <w:rsid w:val="00E14556"/>
    <w:rsid w:val="00EF3B36"/>
    <w:rsid w:val="00F6543D"/>
    <w:rsid w:val="00FD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D0FD"/>
  <w15:chartTrackingRefBased/>
  <w15:docId w15:val="{7B0D38FE-FDB2-4D6F-B90C-5C0D310B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75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5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5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5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5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5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5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5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5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5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5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5C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5C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5C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5C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5C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5C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5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5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5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5C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75C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5C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5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5C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5CFB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5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43E1"/>
  </w:style>
  <w:style w:type="paragraph" w:styleId="AltBilgi">
    <w:name w:val="footer"/>
    <w:basedOn w:val="Normal"/>
    <w:link w:val="AltBilgiChar"/>
    <w:uiPriority w:val="99"/>
    <w:unhideWhenUsed/>
    <w:rsid w:val="0095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43E1"/>
  </w:style>
  <w:style w:type="table" w:styleId="TabloKlavuzu">
    <w:name w:val="Table Grid"/>
    <w:basedOn w:val="NormalTablo"/>
    <w:rsid w:val="009543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atalay</dc:creator>
  <cp:keywords/>
  <dc:description/>
  <cp:lastModifiedBy>merve atalay</cp:lastModifiedBy>
  <cp:revision>3</cp:revision>
  <dcterms:created xsi:type="dcterms:W3CDTF">2025-04-28T21:28:00Z</dcterms:created>
  <dcterms:modified xsi:type="dcterms:W3CDTF">2025-04-28T21:30:00Z</dcterms:modified>
</cp:coreProperties>
</file>